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297850" w14:textId="60F57CCA" w:rsidR="00324372" w:rsidRDefault="00324372" w:rsidP="000F2AEE">
      <w:pPr>
        <w:spacing w:after="0" w:line="240" w:lineRule="auto"/>
        <w:jc w:val="both"/>
        <w:rPr>
          <w:rFonts w:ascii="Arial" w:hAnsi="Arial" w:cs="Arial"/>
          <w:smallCaps/>
          <w:color w:val="000000" w:themeColor="text1"/>
          <w:sz w:val="27"/>
          <w:szCs w:val="27"/>
        </w:rPr>
      </w:pPr>
      <w:r w:rsidRPr="007215BD"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 wp14:anchorId="5727F32F" wp14:editId="32A92E76">
            <wp:extent cx="1007745" cy="1007745"/>
            <wp:effectExtent l="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215BD"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 wp14:anchorId="1F683D49" wp14:editId="7D03D9E1">
            <wp:extent cx="2700020" cy="676910"/>
            <wp:effectExtent l="0" t="0" r="0" b="0"/>
            <wp:docPr id="2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67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72F3">
        <w:rPr>
          <w:rFonts w:ascii="Arial" w:hAnsi="Arial" w:cs="Arial"/>
          <w:smallCaps/>
          <w:color w:val="000000" w:themeColor="text1"/>
          <w:sz w:val="27"/>
          <w:szCs w:val="27"/>
        </w:rPr>
        <w:t xml:space="preserve">        </w:t>
      </w:r>
      <w:r w:rsidR="0023197F">
        <w:rPr>
          <w:rFonts w:ascii="Arial" w:hAnsi="Arial" w:cs="Arial"/>
          <w:smallCaps/>
          <w:color w:val="000000" w:themeColor="text1"/>
          <w:sz w:val="27"/>
          <w:szCs w:val="27"/>
        </w:rPr>
        <w:t xml:space="preserve"> </w:t>
      </w:r>
      <w:r w:rsidR="00C77827">
        <w:rPr>
          <w:rFonts w:ascii="Arial" w:hAnsi="Arial" w:cs="Arial"/>
          <w:smallCaps/>
          <w:color w:val="000000" w:themeColor="text1"/>
          <w:sz w:val="27"/>
          <w:szCs w:val="27"/>
        </w:rPr>
        <w:t xml:space="preserve">             </w:t>
      </w:r>
      <w:r w:rsidR="00554C45">
        <w:rPr>
          <w:rFonts w:ascii="Arial" w:hAnsi="Arial" w:cs="Arial"/>
          <w:smallCaps/>
          <w:color w:val="000000" w:themeColor="text1"/>
          <w:sz w:val="27"/>
          <w:szCs w:val="27"/>
        </w:rPr>
        <w:t xml:space="preserve">                     </w:t>
      </w:r>
      <w:r w:rsidR="009D1194" w:rsidRPr="008372F3">
        <w:rPr>
          <w:rFonts w:ascii="Arial" w:hAnsi="Arial" w:cs="Arial"/>
          <w:smallCaps/>
          <w:color w:val="000000" w:themeColor="text1"/>
          <w:sz w:val="27"/>
          <w:szCs w:val="27"/>
        </w:rPr>
        <w:t>S</w:t>
      </w:r>
      <w:r w:rsidR="000C3B8F">
        <w:rPr>
          <w:rFonts w:ascii="Arial" w:hAnsi="Arial" w:cs="Arial"/>
          <w:smallCaps/>
          <w:color w:val="000000" w:themeColor="text1"/>
          <w:sz w:val="27"/>
          <w:szCs w:val="27"/>
        </w:rPr>
        <w:t>CHEDA SALA</w:t>
      </w:r>
    </w:p>
    <w:p w14:paraId="26FD1ACD" w14:textId="77777777" w:rsidR="000C3B8F" w:rsidRPr="007215BD" w:rsidRDefault="000C3B8F" w:rsidP="0023197F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0" w:name="_GoBack"/>
      <w:bookmarkEnd w:id="0"/>
    </w:p>
    <w:p w14:paraId="2AF96D1B" w14:textId="1F324BF2" w:rsidR="00324372" w:rsidRPr="007215BD" w:rsidRDefault="00390A67" w:rsidP="00554C45">
      <w:pPr>
        <w:spacing w:line="240" w:lineRule="auto"/>
        <w:jc w:val="both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b/>
          <w:color w:val="000000" w:themeColor="text1"/>
          <w:sz w:val="27"/>
          <w:szCs w:val="27"/>
        </w:rPr>
        <w:t>La Sala</w:t>
      </w:r>
      <w:r w:rsidRPr="00390A67">
        <w:rPr>
          <w:rFonts w:ascii="Arial" w:hAnsi="Arial" w:cs="Arial"/>
          <w:b/>
          <w:color w:val="000000" w:themeColor="text1"/>
          <w:sz w:val="27"/>
          <w:szCs w:val="27"/>
        </w:rPr>
        <w:t xml:space="preserve"> XXV </w:t>
      </w:r>
      <w:r>
        <w:rPr>
          <w:rFonts w:ascii="Arial" w:hAnsi="Arial" w:cs="Arial"/>
          <w:b/>
          <w:color w:val="000000" w:themeColor="text1"/>
          <w:sz w:val="27"/>
          <w:szCs w:val="27"/>
        </w:rPr>
        <w:t xml:space="preserve">del </w:t>
      </w:r>
      <w:r w:rsidR="00AA4E38" w:rsidRPr="00AA4E38">
        <w:rPr>
          <w:rFonts w:ascii="Arial" w:hAnsi="Arial" w:cs="Arial"/>
          <w:b/>
          <w:color w:val="000000" w:themeColor="text1"/>
          <w:sz w:val="27"/>
          <w:szCs w:val="27"/>
        </w:rPr>
        <w:t>Museo Archeologico Nazionale di Taranto</w:t>
      </w:r>
      <w:r w:rsidR="00CE56F9" w:rsidRPr="007215BD">
        <w:rPr>
          <w:rFonts w:ascii="Arial" w:hAnsi="Arial" w:cs="Arial"/>
          <w:b/>
          <w:color w:val="000000" w:themeColor="text1"/>
          <w:sz w:val="27"/>
          <w:szCs w:val="27"/>
        </w:rPr>
        <w:tab/>
      </w:r>
      <w:r w:rsidR="00CE56F9" w:rsidRPr="007215BD">
        <w:rPr>
          <w:rFonts w:ascii="Arial" w:hAnsi="Arial" w:cs="Arial"/>
          <w:b/>
          <w:color w:val="000000" w:themeColor="text1"/>
          <w:sz w:val="27"/>
          <w:szCs w:val="27"/>
        </w:rPr>
        <w:br/>
      </w:r>
      <w:r w:rsidR="00AA4E38" w:rsidRPr="00AA4E38">
        <w:rPr>
          <w:rFonts w:ascii="Arial" w:hAnsi="Arial" w:cs="Arial"/>
          <w:color w:val="000000" w:themeColor="text1"/>
          <w:sz w:val="27"/>
          <w:szCs w:val="27"/>
        </w:rPr>
        <w:t xml:space="preserve">di </w:t>
      </w:r>
      <w:r w:rsidR="00AA4E38">
        <w:rPr>
          <w:rFonts w:ascii="Arial" w:hAnsi="Arial" w:cs="Arial"/>
          <w:color w:val="000000" w:themeColor="text1"/>
          <w:sz w:val="27"/>
          <w:szCs w:val="27"/>
        </w:rPr>
        <w:t>Sara Airò</w:t>
      </w:r>
      <w:r w:rsidR="00AA4E38" w:rsidRPr="00AA4E38">
        <w:rPr>
          <w:rFonts w:ascii="Arial" w:hAnsi="Arial" w:cs="Arial"/>
          <w:color w:val="000000" w:themeColor="text1"/>
          <w:sz w:val="27"/>
          <w:szCs w:val="27"/>
        </w:rPr>
        <w:t>, funzionario archeologo</w:t>
      </w:r>
      <w:r>
        <w:rPr>
          <w:rFonts w:ascii="Arial" w:hAnsi="Arial" w:cs="Arial"/>
          <w:color w:val="000000" w:themeColor="text1"/>
          <w:sz w:val="27"/>
          <w:szCs w:val="27"/>
        </w:rPr>
        <w:t xml:space="preserve"> del MArTA</w:t>
      </w:r>
      <w:r w:rsidR="00AA4E38" w:rsidRPr="00AA4E38">
        <w:rPr>
          <w:rFonts w:ascii="Arial" w:hAnsi="Arial" w:cs="Arial"/>
          <w:color w:val="000000" w:themeColor="text1"/>
          <w:sz w:val="27"/>
          <w:szCs w:val="27"/>
        </w:rPr>
        <w:t xml:space="preserve"> </w:t>
      </w:r>
    </w:p>
    <w:p w14:paraId="31D56ADB" w14:textId="3A7525AC" w:rsidR="00AA4E38" w:rsidRPr="00AA4E38" w:rsidRDefault="00AA4E38" w:rsidP="00AA4E38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A4E38">
        <w:rPr>
          <w:rFonts w:ascii="Arial" w:hAnsi="Arial" w:cs="Arial"/>
          <w:color w:val="000000"/>
          <w:sz w:val="20"/>
          <w:szCs w:val="20"/>
        </w:rPr>
        <w:t xml:space="preserve">Il percorso espositivo del Museo Archeologico Nazionale di Taranto – MArTA si conclude </w:t>
      </w:r>
      <w:r w:rsidR="00390A67">
        <w:rPr>
          <w:rFonts w:ascii="Arial" w:hAnsi="Arial" w:cs="Arial"/>
          <w:color w:val="000000"/>
          <w:sz w:val="20"/>
          <w:szCs w:val="20"/>
        </w:rPr>
        <w:t>nella S</w:t>
      </w:r>
      <w:r w:rsidRPr="00AA4E38">
        <w:rPr>
          <w:rFonts w:ascii="Arial" w:hAnsi="Arial" w:cs="Arial"/>
          <w:color w:val="000000"/>
          <w:sz w:val="20"/>
          <w:szCs w:val="20"/>
        </w:rPr>
        <w:t>ala XXV, destinata a narrare la storia della città tra IV e XII secolo d.C., della quale si affrontano le tematiche della multiculturalità, dell’urbanistica e del</w:t>
      </w:r>
      <w:r>
        <w:rPr>
          <w:rFonts w:ascii="Arial" w:hAnsi="Arial" w:cs="Arial"/>
          <w:color w:val="000000"/>
          <w:sz w:val="20"/>
          <w:szCs w:val="20"/>
        </w:rPr>
        <w:t>l’economia.</w:t>
      </w:r>
    </w:p>
    <w:p w14:paraId="04E23685" w14:textId="094C1188" w:rsidR="00AA4E38" w:rsidRPr="00AA4E38" w:rsidRDefault="00AA4E38" w:rsidP="00AA4E38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A4E38">
        <w:rPr>
          <w:rFonts w:ascii="Arial" w:hAnsi="Arial" w:cs="Arial"/>
          <w:color w:val="000000"/>
          <w:sz w:val="20"/>
          <w:szCs w:val="20"/>
        </w:rPr>
        <w:t>Il ruolo di Taranto quale crocevia di comunità diverse, come Bizantini, Longobardi, Arabi ed Ebrei, è documentata dal punto di vista archeologico da una serie di stele funerarie con iscrizioni in greco, latino, ebraico e in caratteri cufici, rinvenute nell’area di Mont</w:t>
      </w:r>
      <w:r>
        <w:rPr>
          <w:rFonts w:ascii="Arial" w:hAnsi="Arial" w:cs="Arial"/>
          <w:color w:val="000000"/>
          <w:sz w:val="20"/>
          <w:szCs w:val="20"/>
        </w:rPr>
        <w:t xml:space="preserve">edoro e di S. Maria del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Galeso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14:paraId="6EBC880C" w14:textId="053D3816" w:rsidR="00AA4E38" w:rsidRPr="00AA4E38" w:rsidRDefault="00AA4E38" w:rsidP="00AA4E38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A4E38">
        <w:rPr>
          <w:rFonts w:ascii="Arial" w:hAnsi="Arial" w:cs="Arial"/>
          <w:color w:val="000000"/>
          <w:sz w:val="20"/>
          <w:szCs w:val="20"/>
        </w:rPr>
        <w:t xml:space="preserve">Il mutamento delle dinamiche insediative della città, che comincia ad assumere un nuovo assetto rispetto ai secoli precedenti, è reso manifesto dai grandi pavimenti musivi riferibili a edifici a carattere residenziale, come quelli rinvenuti tra le vie F. Cavallotti e C. Nitti, spia di </w:t>
      </w:r>
      <w:proofErr w:type="spellStart"/>
      <w:r w:rsidRPr="00AA4E38">
        <w:rPr>
          <w:rFonts w:ascii="Arial" w:hAnsi="Arial" w:cs="Arial"/>
          <w:color w:val="000000"/>
          <w:sz w:val="20"/>
          <w:szCs w:val="20"/>
        </w:rPr>
        <w:t>un’élite</w:t>
      </w:r>
      <w:proofErr w:type="spellEnd"/>
      <w:r w:rsidRPr="00AA4E38">
        <w:rPr>
          <w:rFonts w:ascii="Arial" w:hAnsi="Arial" w:cs="Arial"/>
          <w:color w:val="000000"/>
          <w:sz w:val="20"/>
          <w:szCs w:val="20"/>
        </w:rPr>
        <w:t xml:space="preserve"> urbana con buone possibilità economiche; non mancano anche nell’ambito dell’edilizia pubblica attività di restauro, risistemazione e costruzione. L’ingresso di nuclei sepolcrali all’interno del perimetro urbano è invece attestato dai materiali rinvenuti nell’ipogeo funerario di Palazzo Delli Ponti o nelle tombe intercetta</w:t>
      </w:r>
      <w:r>
        <w:rPr>
          <w:rFonts w:ascii="Arial" w:hAnsi="Arial" w:cs="Arial"/>
          <w:color w:val="000000"/>
          <w:sz w:val="20"/>
          <w:szCs w:val="20"/>
        </w:rPr>
        <w:t xml:space="preserve">te nell’area della cattedrale. </w:t>
      </w:r>
    </w:p>
    <w:p w14:paraId="63CFB634" w14:textId="51BC1AC9" w:rsidR="008372F3" w:rsidRPr="008372F3" w:rsidRDefault="00AA4E38" w:rsidP="00AA4E38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AA4E38">
        <w:rPr>
          <w:rFonts w:ascii="Arial" w:hAnsi="Arial" w:cs="Arial"/>
          <w:color w:val="000000"/>
          <w:sz w:val="20"/>
          <w:szCs w:val="20"/>
        </w:rPr>
        <w:t>Produzioni, commerci e consumi della città e del territorio, inseriti in un’economia ancora piuttosto solida, sono rivelati da contenitori da trasporto e ceramiche di importazione, che dimostrano l’affermarsi di nuove rotte commerciali indirizzate verso l’Africa settentrionale e il Mediterraneo orientale e da un tesoretto monetale costituito da 8 solidi in oro, ritrovato tra via Nitti e via Cugini. Non mancano infine produzioni locali, attestate da lucerne, ceramiche d’uso comune da fuoco, acrome e dipinte in rosso o bruno, che si configurano talvolta quali vere e proprie imitazioni dei prodotti di importazione.</w:t>
      </w:r>
    </w:p>
    <w:sectPr w:rsidR="008372F3" w:rsidRPr="008372F3" w:rsidSect="00554C45">
      <w:footerReference w:type="default" r:id="rId8"/>
      <w:pgSz w:w="11906" w:h="16838"/>
      <w:pgMar w:top="720" w:right="720" w:bottom="765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9DBE4" w14:textId="77777777" w:rsidR="003569D6" w:rsidRDefault="003569D6" w:rsidP="00C524B1">
      <w:pPr>
        <w:spacing w:after="0" w:line="240" w:lineRule="auto"/>
      </w:pPr>
      <w:r>
        <w:separator/>
      </w:r>
    </w:p>
  </w:endnote>
  <w:endnote w:type="continuationSeparator" w:id="0">
    <w:p w14:paraId="1F7F35F7" w14:textId="77777777" w:rsidR="003569D6" w:rsidRDefault="003569D6" w:rsidP="00C52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F9B553" w14:textId="77777777" w:rsidR="00471E62" w:rsidRDefault="00471E62" w:rsidP="00471E62">
    <w:pPr>
      <w:pStyle w:val="Pidipagina"/>
      <w:rPr>
        <w:rFonts w:ascii="Arial" w:hAnsi="Arial" w:cs="Arial"/>
        <w:sz w:val="18"/>
        <w:szCs w:val="18"/>
      </w:rPr>
    </w:pPr>
  </w:p>
  <w:p w14:paraId="22F6D8DD" w14:textId="55732BC7" w:rsidR="00D66862" w:rsidRPr="00471E62" w:rsidRDefault="00471E62" w:rsidP="00471E62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CONTATTI STAMPA                                                      </w:t>
    </w:r>
    <w:hyperlink r:id="rId1">
      <w:r w:rsidRPr="002548CD">
        <w:rPr>
          <w:rStyle w:val="Collegamentoipertestuale"/>
          <w:rFonts w:ascii="Arial" w:hAnsi="Arial" w:cs="Arial"/>
          <w:sz w:val="18"/>
          <w:szCs w:val="18"/>
        </w:rPr>
        <w:t>man-ta.comunicazione@beniculturali.it</w:t>
      </w:r>
    </w:hyperlink>
    <w:r w:rsidRPr="00A20EF8">
      <w:rPr>
        <w:rStyle w:val="Collegamentoipertestuale"/>
        <w:rFonts w:ascii="Arial" w:hAnsi="Arial" w:cs="Arial"/>
        <w:color w:val="auto"/>
        <w:sz w:val="18"/>
        <w:szCs w:val="18"/>
        <w:u w:val="none"/>
      </w:rPr>
      <w:t xml:space="preserve"> | </w:t>
    </w:r>
    <w:hyperlink r:id="rId2">
      <w:r>
        <w:rPr>
          <w:rStyle w:val="CollegamentoInternet"/>
          <w:rFonts w:ascii="Arial" w:hAnsi="Arial" w:cs="Arial"/>
          <w:sz w:val="18"/>
          <w:szCs w:val="18"/>
        </w:rPr>
        <w:t>press@circuitodelcontemporaneo.it</w:t>
      </w:r>
    </w:hyperlink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53B8C6" w14:textId="77777777" w:rsidR="003569D6" w:rsidRDefault="003569D6" w:rsidP="00C524B1">
      <w:pPr>
        <w:spacing w:after="0" w:line="240" w:lineRule="auto"/>
      </w:pPr>
      <w:r>
        <w:separator/>
      </w:r>
    </w:p>
  </w:footnote>
  <w:footnote w:type="continuationSeparator" w:id="0">
    <w:p w14:paraId="25585005" w14:textId="77777777" w:rsidR="003569D6" w:rsidRDefault="003569D6" w:rsidP="00C524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CC"/>
    <w:rsid w:val="000373AE"/>
    <w:rsid w:val="0009598A"/>
    <w:rsid w:val="000A5680"/>
    <w:rsid w:val="000B2328"/>
    <w:rsid w:val="000C3B8F"/>
    <w:rsid w:val="000F2AEE"/>
    <w:rsid w:val="0014739C"/>
    <w:rsid w:val="001D7CCD"/>
    <w:rsid w:val="001F11C4"/>
    <w:rsid w:val="00200D66"/>
    <w:rsid w:val="0020552A"/>
    <w:rsid w:val="0023197F"/>
    <w:rsid w:val="002353F7"/>
    <w:rsid w:val="0024560D"/>
    <w:rsid w:val="0025568B"/>
    <w:rsid w:val="00324372"/>
    <w:rsid w:val="0034253B"/>
    <w:rsid w:val="003569D6"/>
    <w:rsid w:val="00390A67"/>
    <w:rsid w:val="003D0EC9"/>
    <w:rsid w:val="00471E62"/>
    <w:rsid w:val="004A55B0"/>
    <w:rsid w:val="004B6BC0"/>
    <w:rsid w:val="004D19A0"/>
    <w:rsid w:val="00554C45"/>
    <w:rsid w:val="0057144D"/>
    <w:rsid w:val="005B41C6"/>
    <w:rsid w:val="005E53B8"/>
    <w:rsid w:val="00610B25"/>
    <w:rsid w:val="00613B81"/>
    <w:rsid w:val="00613BB0"/>
    <w:rsid w:val="00620D25"/>
    <w:rsid w:val="00646DDC"/>
    <w:rsid w:val="006642CA"/>
    <w:rsid w:val="00684A8A"/>
    <w:rsid w:val="007215BD"/>
    <w:rsid w:val="00760C13"/>
    <w:rsid w:val="00781ED8"/>
    <w:rsid w:val="0079658B"/>
    <w:rsid w:val="007A28CB"/>
    <w:rsid w:val="007B6B89"/>
    <w:rsid w:val="00810099"/>
    <w:rsid w:val="008372F3"/>
    <w:rsid w:val="008523EA"/>
    <w:rsid w:val="008669BA"/>
    <w:rsid w:val="009571CD"/>
    <w:rsid w:val="00980107"/>
    <w:rsid w:val="009D1194"/>
    <w:rsid w:val="00A20EF8"/>
    <w:rsid w:val="00A23AD5"/>
    <w:rsid w:val="00A63452"/>
    <w:rsid w:val="00AA4E38"/>
    <w:rsid w:val="00B127CF"/>
    <w:rsid w:val="00BF0031"/>
    <w:rsid w:val="00C116E3"/>
    <w:rsid w:val="00C524B1"/>
    <w:rsid w:val="00C77827"/>
    <w:rsid w:val="00CC6BD7"/>
    <w:rsid w:val="00CE56F9"/>
    <w:rsid w:val="00D66862"/>
    <w:rsid w:val="00EE1151"/>
    <w:rsid w:val="00EF45CC"/>
    <w:rsid w:val="00F5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06DBD"/>
  <w15:docId w15:val="{17AA9E7D-0920-4266-87FB-C44FD3828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4372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52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24B1"/>
  </w:style>
  <w:style w:type="paragraph" w:styleId="Pidipagina">
    <w:name w:val="footer"/>
    <w:basedOn w:val="Normale"/>
    <w:link w:val="PidipaginaCarattere"/>
    <w:uiPriority w:val="99"/>
    <w:unhideWhenUsed/>
    <w:rsid w:val="00C52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524B1"/>
  </w:style>
  <w:style w:type="character" w:customStyle="1" w:styleId="CollegamentoInternet">
    <w:name w:val="Collegamento Internet"/>
    <w:basedOn w:val="Carpredefinitoparagrafo"/>
    <w:uiPriority w:val="99"/>
    <w:unhideWhenUsed/>
    <w:rsid w:val="00C524B1"/>
    <w:rPr>
      <w:color w:val="0563C1" w:themeColor="hyperlink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C524B1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58B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58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ess@circuitodelcontemporaneo.it" TargetMode="External"/><Relationship Id="rId1" Type="http://schemas.openxmlformats.org/officeDocument/2006/relationships/hyperlink" Target="mailto:man-ta.comunicazione@benicultural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Principale</dc:creator>
  <cp:keywords/>
  <dc:description/>
  <cp:lastModifiedBy>Cristina Principale</cp:lastModifiedBy>
  <cp:revision>10</cp:revision>
  <cp:lastPrinted>2021-12-01T18:16:00Z</cp:lastPrinted>
  <dcterms:created xsi:type="dcterms:W3CDTF">2021-12-01T01:56:00Z</dcterms:created>
  <dcterms:modified xsi:type="dcterms:W3CDTF">2021-12-01T18:47:00Z</dcterms:modified>
</cp:coreProperties>
</file>